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 w:lineRule="auto"/>
        <w:jc w:val="center"/>
        <w:rPr>
          <w:b w:val="1"/>
          <w:i w:val="1"/>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-781049</wp:posOffset>
                </wp:positionH>
                <wp:positionV relativeFrom="paragraph">
                  <wp:posOffset>0</wp:posOffset>
                </wp:positionV>
                <wp:extent cx="4248150" cy="728663"/>
                <wp:effectExtent b="0" l="0" r="0" t="0"/>
                <wp:wrapNone/>
                <wp:docPr id="33" name=""/>
                <a:graphic>
                  <a:graphicData uri="http://schemas.microsoft.com/office/word/2010/wordprocessingGroup">
                    <wpg:wgp>
                      <wpg:cNvGrpSpPr/>
                      <wpg:grpSpPr>
                        <a:xfrm>
                          <a:off x="2216700" y="2057900"/>
                          <a:ext cx="4248150" cy="728663"/>
                          <a:chOff x="2216700" y="2057900"/>
                          <a:chExt cx="5019675" cy="847725"/>
                        </a:xfrm>
                      </wpg:grpSpPr>
                      <pic:pic>
                        <pic:nvPicPr>
                          <pic:cNvPr id="2" name="Shape 2"/>
                          <pic:cNvPicPr preferRelativeResize="0"/>
                        </pic:nvPicPr>
                        <pic:blipFill>
                          <a:blip r:embed="rId7">
                            <a:alphaModFix/>
                          </a:blip>
                          <a:stretch>
                            <a:fillRect/>
                          </a:stretch>
                        </pic:blipFill>
                        <pic:spPr>
                          <a:xfrm>
                            <a:off x="2216700" y="2057900"/>
                            <a:ext cx="5019675" cy="847725"/>
                          </a:xfrm>
                          <a:prstGeom prst="rect">
                            <a:avLst/>
                          </a:prstGeom>
                          <a:noFill/>
                          <a:ln>
                            <a:noFill/>
                          </a:ln>
                        </pic:spPr>
                      </pic:pic>
                    </wpg:wgp>
                  </a:graphicData>
                </a:graphic>
              </wp:anchor>
            </w:drawing>
          </mc:Choice>
          <mc:Fallback>
            <w:drawing>
              <wp:anchor allowOverlap="1" behindDoc="1" distB="0" distT="0" distL="0" distR="0" hidden="0" layoutInCell="1" locked="0" relativeHeight="0" simplePos="0">
                <wp:simplePos x="0" y="0"/>
                <wp:positionH relativeFrom="column">
                  <wp:posOffset>-781049</wp:posOffset>
                </wp:positionH>
                <wp:positionV relativeFrom="paragraph">
                  <wp:posOffset>0</wp:posOffset>
                </wp:positionV>
                <wp:extent cx="4248150" cy="728663"/>
                <wp:effectExtent b="0" l="0" r="0" t="0"/>
                <wp:wrapNone/>
                <wp:docPr id="3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248150" cy="728663"/>
                        </a:xfrm>
                        <a:prstGeom prst="rect"/>
                        <a:ln/>
                      </pic:spPr>
                    </pic:pic>
                  </a:graphicData>
                </a:graphic>
              </wp:anchor>
            </w:drawing>
          </mc:Fallback>
        </mc:AlternateContent>
      </w:r>
    </w:p>
    <w:p w:rsidR="00000000" w:rsidDel="00000000" w:rsidP="00000000" w:rsidRDefault="00000000" w:rsidRPr="00000000" w14:paraId="00000002">
      <w:pPr>
        <w:spacing w:before="12" w:lineRule="auto"/>
        <w:jc w:val="center"/>
        <w:rPr>
          <w:b w:val="1"/>
          <w:sz w:val="32"/>
          <w:szCs w:val="32"/>
          <w:u w:val="single"/>
        </w:rPr>
      </w:pPr>
      <w:r w:rsidDel="00000000" w:rsidR="00000000" w:rsidRPr="00000000">
        <w:rPr>
          <w:b w:val="1"/>
          <w:sz w:val="32"/>
          <w:szCs w:val="32"/>
          <w:u w:val="single"/>
          <w:rtl w:val="0"/>
        </w:rPr>
        <w:t xml:space="preserve">NASIG Sponsorship Opportunities</w:t>
      </w:r>
    </w:p>
    <w:p w:rsidR="00000000" w:rsidDel="00000000" w:rsidP="00000000" w:rsidRDefault="00000000" w:rsidRPr="00000000" w14:paraId="00000003">
      <w:pPr>
        <w:spacing w:before="12" w:lineRule="auto"/>
        <w:jc w:val="center"/>
        <w:rPr>
          <w:sz w:val="24"/>
          <w:szCs w:val="24"/>
        </w:rPr>
      </w:pPr>
      <w:r w:rsidDel="00000000" w:rsidR="00000000" w:rsidRPr="00000000">
        <w:rPr>
          <w:sz w:val="28"/>
          <w:szCs w:val="28"/>
          <w:u w:val="single"/>
          <w:rtl w:val="0"/>
        </w:rPr>
        <w:t xml:space="preserve">Sponsorships</w:t>
      </w:r>
      <w:r w:rsidDel="00000000" w:rsidR="00000000" w:rsidRPr="00000000">
        <w:rPr>
          <w:rtl w:val="0"/>
        </w:rPr>
      </w:r>
    </w:p>
    <w:p w:rsidR="00000000" w:rsidDel="00000000" w:rsidP="00000000" w:rsidRDefault="00000000" w:rsidRPr="00000000" w14:paraId="00000004">
      <w:pPr>
        <w:spacing w:before="8" w:line="280" w:lineRule="auto"/>
        <w:rPr/>
      </w:pPr>
      <w:r w:rsidDel="00000000" w:rsidR="00000000" w:rsidRPr="00000000">
        <w:rPr>
          <w:rtl w:val="0"/>
        </w:rPr>
      </w:r>
    </w:p>
    <w:tbl>
      <w:tblPr>
        <w:tblStyle w:val="Table1"/>
        <w:tblW w:w="8382.0" w:type="dxa"/>
        <w:jc w:val="left"/>
        <w:tblInd w:w="480.0" w:type="dxa"/>
        <w:tblLayout w:type="fixed"/>
        <w:tblLook w:val="0000"/>
      </w:tblPr>
      <w:tblGrid>
        <w:gridCol w:w="3024"/>
        <w:gridCol w:w="2658"/>
        <w:gridCol w:w="2700"/>
        <w:tblGridChange w:id="0">
          <w:tblGrid>
            <w:gridCol w:w="3024"/>
            <w:gridCol w:w="2658"/>
            <w:gridCol w:w="2700"/>
          </w:tblGrid>
        </w:tblGridChange>
      </w:tblGrid>
      <w:tr>
        <w:trPr>
          <w:cantSplit w:val="0"/>
          <w:trHeight w:val="84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57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Tier 1 - $2,500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57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Tier 2 - $1,500</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00" w:val="clea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5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Tier 3 - $500</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Access to Conference Registration List</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Free Registration for 1 company representative</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Display of Logo</w:t>
            </w:r>
            <w:r w:rsidDel="00000000" w:rsidR="00000000" w:rsidRPr="00000000">
              <w:rPr>
                <w:rtl w:val="0"/>
              </w:rPr>
            </w:r>
          </w:p>
        </w:tc>
      </w:tr>
      <w:tr>
        <w:trPr>
          <w:cantSplit w:val="0"/>
          <w:trHeight w:val="81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Free registration</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2 company representatives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Expo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NASIG Newsletter ad</w:t>
            </w:r>
          </w:p>
        </w:tc>
      </w:tr>
      <w:tr>
        <w:trPr>
          <w:cantSplit w:val="0"/>
          <w:trHeight w:val="81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Expo</w:t>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Display of Logo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Lightning Talk</w:t>
            </w:r>
          </w:p>
        </w:tc>
      </w:tr>
      <w:tr>
        <w:trPr>
          <w:cantSplit w:val="0"/>
          <w:trHeight w:val="814"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Display of Logo</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NASIG Newsletter ad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NASIG Newsletter ad</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Lightning Talk</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29" w:hRule="atLeast"/>
          <w:tblHeader w:val="0"/>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Vendor Lightning Talk</w:t>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8">
      <w:pPr>
        <w:spacing w:before="1" w:line="200" w:lineRule="auto"/>
        <w:rPr/>
      </w:pPr>
      <w:r w:rsidDel="00000000" w:rsidR="00000000" w:rsidRPr="00000000">
        <w:rPr>
          <w:rtl w:val="0"/>
        </w:rPr>
      </w:r>
    </w:p>
    <w:p w:rsidR="00000000" w:rsidDel="00000000" w:rsidP="00000000" w:rsidRDefault="00000000" w:rsidRPr="00000000" w14:paraId="00000029">
      <w:pPr>
        <w:tabs>
          <w:tab w:val="left" w:pos="479"/>
        </w:tabs>
        <w:spacing w:before="1" w:lineRule="auto"/>
        <w:ind w:left="480" w:firstLine="0"/>
        <w:rPr/>
      </w:pPr>
      <w:r w:rsidDel="00000000" w:rsidR="00000000" w:rsidRPr="00000000">
        <w:rPr>
          <w:rtl w:val="0"/>
        </w:rPr>
      </w:r>
    </w:p>
    <w:p w:rsidR="00000000" w:rsidDel="00000000" w:rsidP="00000000" w:rsidRDefault="00000000" w:rsidRPr="00000000" w14:paraId="0000002A">
      <w:pPr>
        <w:numPr>
          <w:ilvl w:val="0"/>
          <w:numId w:val="1"/>
        </w:numPr>
        <w:tabs>
          <w:tab w:val="left" w:pos="479"/>
        </w:tabs>
        <w:spacing w:before="1" w:lineRule="auto"/>
        <w:ind w:left="480" w:hanging="360"/>
        <w:rPr/>
      </w:pPr>
      <w:r w:rsidDel="00000000" w:rsidR="00000000" w:rsidRPr="00000000">
        <w:rPr>
          <w:b w:val="1"/>
          <w:rtl w:val="0"/>
        </w:rPr>
        <w:t xml:space="preserve">Display of logo - </w:t>
      </w:r>
      <w:r w:rsidDel="00000000" w:rsidR="00000000" w:rsidRPr="00000000">
        <w:rPr>
          <w:rtl w:val="0"/>
        </w:rPr>
        <w:t xml:space="preserve">includes company logo presence on conference website and screen displays in all general sessions at conference.</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9"/>
        </w:tabs>
        <w:spacing w:after="0" w:before="18" w:line="258" w:lineRule="auto"/>
        <w:ind w:left="480" w:right="485"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Free registration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available for either two representatives for Tier 1 OR one representative for Tier 2 for the full conference.</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0" w:line="240" w:lineRule="auto"/>
        <w:ind w:left="480" w:right="2951"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Lightning talk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a slot in vendor lightning round session.</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79"/>
        </w:tabs>
        <w:spacing w:after="0" w:before="21" w:line="240" w:lineRule="auto"/>
        <w:ind w:left="4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Newsletter Ad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single interior page ad in the NASIG Newsletter.</w:t>
      </w:r>
    </w:p>
    <w:p w:rsidR="00000000" w:rsidDel="00000000" w:rsidP="00000000" w:rsidRDefault="00000000" w:rsidRPr="00000000" w14:paraId="0000002E">
      <w:pPr>
        <w:numPr>
          <w:ilvl w:val="0"/>
          <w:numId w:val="1"/>
        </w:numPr>
        <w:tabs>
          <w:tab w:val="left" w:pos="479"/>
        </w:tabs>
        <w:spacing w:before="3" w:line="258" w:lineRule="auto"/>
        <w:ind w:left="480" w:right="176" w:hanging="360"/>
        <w:rPr/>
      </w:pPr>
      <w:r w:rsidDel="00000000" w:rsidR="00000000" w:rsidRPr="00000000">
        <w:rPr>
          <w:b w:val="1"/>
          <w:rtl w:val="0"/>
        </w:rPr>
        <w:t xml:space="preserve">Conference Registration List – </w:t>
      </w:r>
      <w:r w:rsidDel="00000000" w:rsidR="00000000" w:rsidRPr="00000000">
        <w:rPr>
          <w:rtl w:val="0"/>
        </w:rPr>
        <w:t xml:space="preserve">provided to Tier 1 sponsors only -</w:t>
      </w:r>
      <w:r w:rsidDel="00000000" w:rsidR="00000000" w:rsidRPr="00000000">
        <w:rPr>
          <w:b w:val="1"/>
          <w:rtl w:val="0"/>
        </w:rPr>
        <w:t xml:space="preserve"> </w:t>
      </w:r>
      <w:r w:rsidDel="00000000" w:rsidR="00000000" w:rsidRPr="00000000">
        <w:rPr>
          <w:rtl w:val="0"/>
        </w:rPr>
        <w:t xml:space="preserve">includes a copy of the early bird registration list prior to the conference.  NASIG permits a one-time use of e-mail addresses.</w:t>
      </w:r>
    </w:p>
    <w:p w:rsidR="00000000" w:rsidDel="00000000" w:rsidP="00000000" w:rsidRDefault="00000000" w:rsidRPr="00000000" w14:paraId="0000002F">
      <w:pPr>
        <w:pStyle w:val="Heading2"/>
        <w:spacing w:after="120" w:before="360"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spacing w:after="120" w:before="36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34">
      <w:pPr>
        <w:pStyle w:val="Heading2"/>
        <w:spacing w:after="120" w:before="360" w:lineRule="auto"/>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35">
      <w:pPr>
        <w:pStyle w:val="Heading2"/>
        <w:spacing w:after="120" w:before="360" w:lineRule="auto"/>
        <w:jc w:val="center"/>
        <w:rPr/>
      </w:pPr>
      <w:r w:rsidDel="00000000" w:rsidR="00000000" w:rsidRPr="00000000">
        <w:rPr>
          <w:rFonts w:ascii="Arial" w:cs="Arial" w:eastAsia="Arial" w:hAnsi="Arial"/>
          <w:b w:val="1"/>
          <w:color w:val="000000"/>
          <w:sz w:val="32"/>
          <w:szCs w:val="32"/>
          <w:rtl w:val="0"/>
        </w:rPr>
        <w:t xml:space="preserve">Award Sponsorships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2"/>
        <w:tblW w:w="9360.0" w:type="dxa"/>
        <w:jc w:val="left"/>
        <w:tblInd w:w="0.0" w:type="dxa"/>
        <w:tblLayout w:type="fixed"/>
        <w:tblLook w:val="0400"/>
      </w:tblPr>
      <w:tblGrid>
        <w:gridCol w:w="2278"/>
        <w:gridCol w:w="5844"/>
        <w:gridCol w:w="1238"/>
        <w:tblGridChange w:id="0">
          <w:tblGrid>
            <w:gridCol w:w="2278"/>
            <w:gridCol w:w="5844"/>
            <w:gridCol w:w="123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Award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Description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Sponsor rate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Birdie MacLennan Award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 $1,600 award to advance the profession by providing mid-career information professionals with the opportunity to share their understanding and accelerate their knowledge of information resource management (e.g., serials and/or e-resources acquisitions, resource metadata and discovery.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Capstone Award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 $1,600 award to recognize a professional who has made significant and distinguished contributions to the field of information resource management.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Equity and Inclusion Award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The purpose of this award is to further the NASIG mission to increase the diversity of its membership and provide financial support to attend the NASIG annual conference. Applicants must be a member of an underrepresented group in the NASIG community.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hyperlink r:id="rId12">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First-Timer Award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To provide an information resources management professional or paraprofessional who has not yet attended a NASIG Annual Conference with the opportunity to attend and accelerate their knowledge and understanding of the management of information resources by networking and interacting with a wide range of dedicated professionals.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3">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Fritz Schwartz Education Scholarship</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A $4,600 scholarship and conference travel grant for a graduate student demonstrating excellence in scholarship and the potential for accomplishments in an information resource management career.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4">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Dan Tonkery Horizon Award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73737"/>
                <w:sz w:val="23"/>
                <w:szCs w:val="23"/>
                <w:u w:val="none"/>
                <w:shd w:fill="auto" w:val="clear"/>
                <w:vertAlign w:val="baseline"/>
                <w:rtl w:val="0"/>
              </w:rPr>
              <w:t xml:space="preserve">Award for a promising new information resources management professional,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covering conference registration for 2022. </w:t>
            </w:r>
            <w:r w:rsidDel="00000000" w:rsidR="00000000" w:rsidRPr="00000000">
              <w:rPr>
                <w:rFonts w:ascii="Arial" w:cs="Arial" w:eastAsia="Arial" w:hAnsi="Arial"/>
                <w:b w:val="0"/>
                <w:i w:val="0"/>
                <w:smallCaps w:val="0"/>
                <w:strike w:val="0"/>
                <w:color w:val="373737"/>
                <w:sz w:val="23"/>
                <w:szCs w:val="23"/>
                <w:u w:val="none"/>
                <w:shd w:fill="auto" w:val="clear"/>
                <w:vertAlign w:val="baseline"/>
                <w:rtl w:val="0"/>
              </w:rPr>
              <w:t xml:space="preserve">Recipients will also be invited to serve on a NASIG committee.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333333"/>
                <w:sz w:val="24"/>
                <w:szCs w:val="24"/>
                <w:u w:val="none"/>
                <w:shd w:fill="auto" w:val="clear"/>
                <w:vertAlign w:val="baseline"/>
              </w:rPr>
            </w:pPr>
            <w:hyperlink r:id="rId15">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John Riddick Student Grant</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0" w:right="0" w:firstLine="0"/>
              <w:jc w:val="left"/>
              <w:rPr>
                <w:rFonts w:ascii="Arial" w:cs="Arial" w:eastAsia="Arial" w:hAnsi="Arial"/>
                <w:b w:val="0"/>
                <w:i w:val="0"/>
                <w:smallCaps w:val="0"/>
                <w:strike w:val="0"/>
                <w:color w:val="373737"/>
                <w:sz w:val="23"/>
                <w:szCs w:val="23"/>
                <w:u w:val="none"/>
                <w:shd w:fill="auto" w:val="clear"/>
                <w:vertAlign w:val="baseline"/>
              </w:rPr>
            </w:pPr>
            <w:r w:rsidDel="00000000" w:rsidR="00000000" w:rsidRPr="00000000">
              <w:rPr>
                <w:rFonts w:ascii="Arial" w:cs="Arial" w:eastAsia="Arial" w:hAnsi="Arial"/>
                <w:b w:val="0"/>
                <w:i w:val="0"/>
                <w:smallCaps w:val="0"/>
                <w:strike w:val="0"/>
                <w:color w:val="373737"/>
                <w:sz w:val="23"/>
                <w:szCs w:val="23"/>
                <w:u w:val="none"/>
                <w:shd w:fill="auto" w:val="clear"/>
                <w:vertAlign w:val="baseline"/>
                <w:rtl w:val="0"/>
              </w:rPr>
              <w:t xml:space="preserve">To encourage participation in the information supply chain by students who are interested in pursuing some aspect of information resource management (e.g., serials and/or e-resources acquisitions, resource metadata and discovery, scholarly communications, collections management, digital publishing, e-resource or serials sales, scholarly publishing, or knowledgebase management).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Paraprofessional Specialist Award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20" w:before="2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73737"/>
                <w:sz w:val="23"/>
                <w:szCs w:val="23"/>
                <w:u w:val="none"/>
                <w:shd w:fill="auto" w:val="clear"/>
                <w:vertAlign w:val="baseline"/>
                <w:rtl w:val="0"/>
              </w:rPr>
              <w:t xml:space="preserve">Awards for promising paraprofessionals,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covering conference registration for 2022.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Rose Robischon Scholarship</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73737"/>
                <w:sz w:val="23"/>
                <w:szCs w:val="23"/>
                <w:u w:val="none"/>
                <w:shd w:fill="auto" w:val="clear"/>
                <w:vertAlign w:val="baseline"/>
                <w:rtl w:val="0"/>
              </w:rPr>
              <w:t xml:space="preserve">A scholarship awarded to an information resource management professional lacking funds for travel. The scholarship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covering virtual conference registration for 2021 and registration for a future on-site NASIG meeting.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$1,600</w:t>
            </w: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2160" w:right="8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 w:line="240" w:lineRule="auto"/>
        <w:ind w:left="0" w:right="8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Thank you for your support!</w:t>
      </w:r>
    </w:p>
    <w:p w:rsidR="00000000" w:rsidDel="00000000" w:rsidP="00000000" w:rsidRDefault="00000000" w:rsidRPr="00000000" w14:paraId="00000058">
      <w:pPr>
        <w:pStyle w:val="Heading3"/>
        <w:ind w:left="0" w:firstLine="0"/>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Organization name, conference contact name and billing email.  Payment options will be sent to the billing email.</w:t>
      </w:r>
      <w:r w:rsidDel="00000000" w:rsidR="00000000" w:rsidRPr="00000000">
        <w:rPr>
          <w:rtl w:val="0"/>
        </w:rPr>
      </w:r>
    </w:p>
    <w:p w:rsidR="00000000" w:rsidDel="00000000" w:rsidP="00000000" w:rsidRDefault="00000000" w:rsidRPr="00000000" w14:paraId="00000059">
      <w:pPr>
        <w:spacing w:line="200" w:lineRule="auto"/>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-660399</wp:posOffset>
                </wp:positionH>
                <wp:positionV relativeFrom="paragraph">
                  <wp:posOffset>101600</wp:posOffset>
                </wp:positionV>
                <wp:extent cx="7258050" cy="936172"/>
                <wp:effectExtent b="0" l="0" r="0" t="0"/>
                <wp:wrapNone/>
                <wp:docPr id="34" name=""/>
                <a:graphic>
                  <a:graphicData uri="http://schemas.microsoft.com/office/word/2010/wordprocessingGroup">
                    <wpg:wgp>
                      <wpg:cNvGrpSpPr/>
                      <wpg:grpSpPr>
                        <a:xfrm>
                          <a:off x="1716975" y="3311914"/>
                          <a:ext cx="7258050" cy="936172"/>
                          <a:chOff x="1716975" y="3311914"/>
                          <a:chExt cx="7258050" cy="936172"/>
                        </a:xfrm>
                      </wpg:grpSpPr>
                      <wpg:grpSp>
                        <wpg:cNvGrpSpPr/>
                        <wpg:grpSpPr>
                          <a:xfrm>
                            <a:off x="1716975" y="3311914"/>
                            <a:ext cx="7258050" cy="936172"/>
                            <a:chOff x="720" y="316"/>
                            <a:chExt cx="11100" cy="994"/>
                          </a:xfrm>
                        </wpg:grpSpPr>
                        <wps:wsp>
                          <wps:cNvSpPr/>
                          <wps:cNvPr id="4" name="Shape 4"/>
                          <wps:spPr>
                            <a:xfrm>
                              <a:off x="720" y="316"/>
                              <a:ext cx="11100" cy="9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20" y="316"/>
                              <a:ext cx="11100" cy="994"/>
                            </a:xfrm>
                            <a:custGeom>
                              <a:rect b="b" l="l" r="r" t="t"/>
                              <a:pathLst>
                                <a:path extrusionOk="0" h="994" w="11100">
                                  <a:moveTo>
                                    <a:pt x="0" y="994"/>
                                  </a:moveTo>
                                  <a:lnTo>
                                    <a:pt x="11100" y="994"/>
                                  </a:lnTo>
                                  <a:lnTo>
                                    <a:pt x="11100" y="0"/>
                                  </a:lnTo>
                                  <a:lnTo>
                                    <a:pt x="0" y="0"/>
                                  </a:lnTo>
                                  <a:lnTo>
                                    <a:pt x="0" y="994"/>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-660399</wp:posOffset>
                </wp:positionH>
                <wp:positionV relativeFrom="paragraph">
                  <wp:posOffset>101600</wp:posOffset>
                </wp:positionV>
                <wp:extent cx="7258050" cy="936172"/>
                <wp:effectExtent b="0" l="0" r="0" t="0"/>
                <wp:wrapNone/>
                <wp:docPr id="34"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7258050" cy="936172"/>
                        </a:xfrm>
                        <a:prstGeom prst="rect"/>
                        <a:ln/>
                      </pic:spPr>
                    </pic:pic>
                  </a:graphicData>
                </a:graphic>
              </wp:anchor>
            </w:drawing>
          </mc:Fallback>
        </mc:AlternateContent>
      </w:r>
    </w:p>
    <w:p w:rsidR="00000000" w:rsidDel="00000000" w:rsidP="00000000" w:rsidRDefault="00000000" w:rsidRPr="00000000" w14:paraId="0000005A">
      <w:pPr>
        <w:tabs>
          <w:tab w:val="left" w:pos="11444"/>
        </w:tabs>
        <w:spacing w:before="62" w:lineRule="auto"/>
        <w:rPr/>
      </w:pPr>
      <w:r w:rsidDel="00000000" w:rsidR="00000000" w:rsidRPr="00000000">
        <w:rPr>
          <w:rtl w:val="0"/>
        </w:rPr>
      </w:r>
    </w:p>
    <w:p w:rsidR="00000000" w:rsidDel="00000000" w:rsidP="00000000" w:rsidRDefault="00000000" w:rsidRPr="00000000" w14:paraId="0000005B">
      <w:pPr>
        <w:tabs>
          <w:tab w:val="left" w:pos="11444"/>
        </w:tabs>
        <w:spacing w:before="62" w:lineRule="auto"/>
        <w:rPr/>
      </w:pPr>
      <w:r w:rsidDel="00000000" w:rsidR="00000000" w:rsidRPr="00000000">
        <w:rPr>
          <w:rtl w:val="0"/>
        </w:rPr>
      </w:r>
    </w:p>
    <w:p w:rsidR="00000000" w:rsidDel="00000000" w:rsidP="00000000" w:rsidRDefault="00000000" w:rsidRPr="00000000" w14:paraId="0000005C">
      <w:pPr>
        <w:tabs>
          <w:tab w:val="left" w:pos="11444"/>
        </w:tabs>
        <w:spacing w:before="62" w:lineRule="auto"/>
        <w:rPr/>
      </w:pPr>
      <w:r w:rsidDel="00000000" w:rsidR="00000000" w:rsidRPr="00000000">
        <w:rPr>
          <w:rtl w:val="0"/>
        </w:rPr>
      </w:r>
    </w:p>
    <w:p w:rsidR="00000000" w:rsidDel="00000000" w:rsidP="00000000" w:rsidRDefault="00000000" w:rsidRPr="00000000" w14:paraId="0000005D">
      <w:pPr>
        <w:tabs>
          <w:tab w:val="left" w:pos="11444"/>
        </w:tabs>
        <w:spacing w:before="62" w:lineRule="auto"/>
        <w:rPr/>
      </w:pPr>
      <w:r w:rsidDel="00000000" w:rsidR="00000000" w:rsidRPr="00000000">
        <w:rPr>
          <w:rtl w:val="0"/>
        </w:rPr>
      </w:r>
    </w:p>
    <w:p w:rsidR="00000000" w:rsidDel="00000000" w:rsidP="00000000" w:rsidRDefault="00000000" w:rsidRPr="00000000" w14:paraId="0000005E">
      <w:pPr>
        <w:tabs>
          <w:tab w:val="left" w:pos="11444"/>
        </w:tabs>
        <w:spacing w:before="62" w:lineRule="auto"/>
        <w:rPr/>
      </w:pPr>
      <w:r w:rsidDel="00000000" w:rsidR="00000000" w:rsidRPr="00000000">
        <w:rPr>
          <w:rtl w:val="0"/>
        </w:rPr>
      </w:r>
    </w:p>
    <w:p w:rsidR="00000000" w:rsidDel="00000000" w:rsidP="00000000" w:rsidRDefault="00000000" w:rsidRPr="00000000" w14:paraId="0000005F">
      <w:pPr>
        <w:tabs>
          <w:tab w:val="left" w:pos="11444"/>
        </w:tabs>
        <w:spacing w:before="62" w:lineRule="auto"/>
        <w:rPr/>
      </w:pPr>
      <w:r w:rsidDel="00000000" w:rsidR="00000000" w:rsidRPr="00000000">
        <w:rPr>
          <w:rtl w:val="0"/>
        </w:rPr>
      </w:r>
    </w:p>
    <w:p w:rsidR="00000000" w:rsidDel="00000000" w:rsidP="00000000" w:rsidRDefault="00000000" w:rsidRPr="00000000" w14:paraId="00000060">
      <w:pPr>
        <w:tabs>
          <w:tab w:val="left" w:pos="11444"/>
        </w:tabs>
        <w:spacing w:before="62" w:lineRule="auto"/>
        <w:rPr>
          <w:b w:val="1"/>
          <w:sz w:val="24"/>
          <w:szCs w:val="24"/>
          <w:highlight w:val="lightGray"/>
        </w:rPr>
      </w:pPr>
      <w:r w:rsidDel="00000000" w:rsidR="00000000" w:rsidRPr="00000000">
        <w:rPr>
          <w:b w:val="1"/>
          <w:sz w:val="24"/>
          <w:szCs w:val="24"/>
          <w:highlight w:val="lightGray"/>
          <w:rtl w:val="0"/>
        </w:rPr>
        <w:t xml:space="preserve">Order form can be sent by email to: </w:t>
      </w:r>
    </w:p>
    <w:p w:rsidR="00000000" w:rsidDel="00000000" w:rsidP="00000000" w:rsidRDefault="00000000" w:rsidRPr="00000000" w14:paraId="00000061">
      <w:pPr>
        <w:tabs>
          <w:tab w:val="left" w:pos="11444"/>
        </w:tabs>
        <w:spacing w:before="62" w:lineRule="auto"/>
        <w:rPr>
          <w:b w:val="1"/>
          <w:sz w:val="24"/>
          <w:szCs w:val="24"/>
          <w:highlight w:val="lightGray"/>
        </w:rPr>
      </w:pPr>
      <w:r w:rsidDel="00000000" w:rsidR="00000000" w:rsidRPr="00000000">
        <w:rPr>
          <w:b w:val="1"/>
          <w:sz w:val="24"/>
          <w:szCs w:val="24"/>
          <w:highlight w:val="lightGray"/>
          <w:rtl w:val="0"/>
        </w:rPr>
        <w:t xml:space="preserve">Nicole.ameduri@springernature.com </w:t>
      </w:r>
    </w:p>
    <w:p w:rsidR="00000000" w:rsidDel="00000000" w:rsidP="00000000" w:rsidRDefault="00000000" w:rsidRPr="00000000" w14:paraId="0000006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sz w:val="20"/>
        <w:szCs w:val="20"/>
      </w:rPr>
    </w:lvl>
    <w:lvl w:ilvl="1">
      <w:start w:val="1"/>
      <w:numFmt w:val="decimal"/>
      <w:lvlText w:val="%2."/>
      <w:lvlJc w:val="left"/>
      <w:pPr>
        <w:ind w:left="0" w:hanging="361"/>
      </w:pPr>
      <w:rPr>
        <w:rFonts w:ascii="Book Antiqua" w:cs="Book Antiqua" w:eastAsia="Book Antiqua" w:hAnsi="Book Antiqua"/>
        <w:sz w:val="24"/>
        <w:szCs w:val="24"/>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Book Antiqua" w:cs="Book Antiqua" w:eastAsia="Book Antiqua" w:hAnsi="Book Antiqua"/>
      <w:b w:val="1"/>
      <w:sz w:val="24"/>
      <w:szCs w:val="24"/>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ind w:left="340"/>
    </w:pPr>
    <w:rPr>
      <w:rFonts w:ascii="Book Antiqua" w:cs="Book Antiqua" w:eastAsia="Book Antiqua" w:hAnsi="Book Antiqua"/>
      <w:b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030F65"/>
    <w:pPr>
      <w:widowControl w:val="0"/>
      <w:spacing w:after="0" w:line="240" w:lineRule="auto"/>
    </w:pPr>
  </w:style>
  <w:style w:type="paragraph" w:styleId="Heading1">
    <w:name w:val="heading 1"/>
    <w:basedOn w:val="Normal"/>
    <w:link w:val="Heading1Char"/>
    <w:uiPriority w:val="1"/>
    <w:qFormat w:val="1"/>
    <w:rsid w:val="00030F65"/>
    <w:pPr>
      <w:ind w:left="100"/>
      <w:outlineLvl w:val="0"/>
    </w:pPr>
    <w:rPr>
      <w:rFonts w:ascii="Book Antiqua" w:eastAsia="Book Antiqua" w:hAnsi="Book Antiqua"/>
      <w:b w:val="1"/>
      <w:bCs w:val="1"/>
      <w:sz w:val="24"/>
      <w:szCs w:val="24"/>
    </w:rPr>
  </w:style>
  <w:style w:type="paragraph" w:styleId="Heading2">
    <w:name w:val="heading 2"/>
    <w:basedOn w:val="Normal"/>
    <w:next w:val="Normal"/>
    <w:link w:val="Heading2Char"/>
    <w:uiPriority w:val="9"/>
    <w:semiHidden w:val="1"/>
    <w:unhideWhenUsed w:val="1"/>
    <w:qFormat w:val="1"/>
    <w:rsid w:val="00B31B55"/>
    <w:pPr>
      <w:keepNext w:val="1"/>
      <w:keepLines w:val="1"/>
      <w:spacing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link w:val="Heading3Char"/>
    <w:uiPriority w:val="1"/>
    <w:qFormat w:val="1"/>
    <w:rsid w:val="00030F65"/>
    <w:pPr>
      <w:ind w:left="340"/>
      <w:outlineLvl w:val="2"/>
    </w:pPr>
    <w:rPr>
      <w:rFonts w:ascii="Book Antiqua" w:eastAsia="Book Antiqua" w:hAnsi="Book Antiqua"/>
      <w:b w:val="1"/>
      <w:b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030F65"/>
    <w:rPr>
      <w:rFonts w:ascii="Book Antiqua" w:eastAsia="Book Antiqua" w:hAnsi="Book Antiqua"/>
      <w:b w:val="1"/>
      <w:bCs w:val="1"/>
      <w:sz w:val="24"/>
      <w:szCs w:val="24"/>
    </w:rPr>
  </w:style>
  <w:style w:type="character" w:styleId="Heading3Char" w:customStyle="1">
    <w:name w:val="Heading 3 Char"/>
    <w:basedOn w:val="DefaultParagraphFont"/>
    <w:link w:val="Heading3"/>
    <w:uiPriority w:val="1"/>
    <w:rsid w:val="00030F65"/>
    <w:rPr>
      <w:rFonts w:ascii="Book Antiqua" w:eastAsia="Book Antiqua" w:hAnsi="Book Antiqua"/>
      <w:b w:val="1"/>
      <w:bCs w:val="1"/>
      <w:sz w:val="20"/>
      <w:szCs w:val="20"/>
    </w:rPr>
  </w:style>
  <w:style w:type="paragraph" w:styleId="BodyText">
    <w:name w:val="Body Text"/>
    <w:basedOn w:val="Normal"/>
    <w:link w:val="BodyTextChar"/>
    <w:uiPriority w:val="1"/>
    <w:qFormat w:val="1"/>
    <w:rsid w:val="00030F65"/>
    <w:pPr>
      <w:ind w:left="500" w:hanging="360"/>
    </w:pPr>
    <w:rPr>
      <w:rFonts w:ascii="Book Antiqua" w:eastAsia="Book Antiqua" w:hAnsi="Book Antiqua"/>
      <w:sz w:val="20"/>
      <w:szCs w:val="20"/>
    </w:rPr>
  </w:style>
  <w:style w:type="character" w:styleId="BodyTextChar" w:customStyle="1">
    <w:name w:val="Body Text Char"/>
    <w:basedOn w:val="DefaultParagraphFont"/>
    <w:link w:val="BodyText"/>
    <w:uiPriority w:val="1"/>
    <w:rsid w:val="00030F65"/>
    <w:rPr>
      <w:rFonts w:ascii="Book Antiqua" w:eastAsia="Book Antiqua" w:hAnsi="Book Antiqua"/>
      <w:sz w:val="20"/>
      <w:szCs w:val="20"/>
    </w:rPr>
  </w:style>
  <w:style w:type="paragraph" w:styleId="TableParagraph" w:customStyle="1">
    <w:name w:val="Table Paragraph"/>
    <w:basedOn w:val="Normal"/>
    <w:uiPriority w:val="1"/>
    <w:qFormat w:val="1"/>
    <w:rsid w:val="00030F65"/>
  </w:style>
  <w:style w:type="character" w:styleId="Heading2Char" w:customStyle="1">
    <w:name w:val="Heading 2 Char"/>
    <w:basedOn w:val="DefaultParagraphFont"/>
    <w:link w:val="Heading2"/>
    <w:uiPriority w:val="9"/>
    <w:semiHidden w:val="1"/>
    <w:rsid w:val="00B31B55"/>
    <w:rPr>
      <w:rFonts w:asciiTheme="majorHAnsi" w:cstheme="majorBidi" w:eastAsiaTheme="majorEastAsia" w:hAnsiTheme="majorHAnsi"/>
      <w:color w:val="2e74b5" w:themeColor="accent1" w:themeShade="0000BF"/>
      <w:sz w:val="26"/>
      <w:szCs w:val="26"/>
    </w:rPr>
  </w:style>
  <w:style w:type="paragraph" w:styleId="NormalWeb">
    <w:name w:val="Normal (Web)"/>
    <w:basedOn w:val="Normal"/>
    <w:uiPriority w:val="99"/>
    <w:unhideWhenUsed w:val="1"/>
    <w:rsid w:val="00B31B55"/>
    <w:pPr>
      <w:widowControl w:val="1"/>
      <w:spacing w:after="100" w:afterAutospacing="1" w:before="100" w:beforeAutospacing="1"/>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CD23E2"/>
    <w:pPr>
      <w:tabs>
        <w:tab w:val="center" w:pos="4680"/>
        <w:tab w:val="right" w:pos="9360"/>
      </w:tabs>
    </w:pPr>
  </w:style>
  <w:style w:type="character" w:styleId="HeaderChar" w:customStyle="1">
    <w:name w:val="Header Char"/>
    <w:basedOn w:val="DefaultParagraphFont"/>
    <w:link w:val="Header"/>
    <w:uiPriority w:val="99"/>
    <w:rsid w:val="00CD23E2"/>
  </w:style>
  <w:style w:type="paragraph" w:styleId="Footer">
    <w:name w:val="footer"/>
    <w:basedOn w:val="Normal"/>
    <w:link w:val="FooterChar"/>
    <w:uiPriority w:val="99"/>
    <w:unhideWhenUsed w:val="1"/>
    <w:rsid w:val="00CD23E2"/>
    <w:pPr>
      <w:tabs>
        <w:tab w:val="center" w:pos="4680"/>
        <w:tab w:val="right" w:pos="9360"/>
      </w:tabs>
    </w:pPr>
  </w:style>
  <w:style w:type="character" w:styleId="FooterChar" w:customStyle="1">
    <w:name w:val="Footer Char"/>
    <w:basedOn w:val="DefaultParagraphFont"/>
    <w:link w:val="Footer"/>
    <w:uiPriority w:val="99"/>
    <w:rsid w:val="00CD23E2"/>
  </w:style>
  <w:style w:type="character" w:styleId="Hyperlink">
    <w:name w:val="Hyperlink"/>
    <w:basedOn w:val="DefaultParagraphFont"/>
    <w:uiPriority w:val="99"/>
    <w:unhideWhenUsed w:val="1"/>
    <w:rsid w:val="00AD7B22"/>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nasig.org/page-18284#equity" TargetMode="External"/><Relationship Id="rId10" Type="http://schemas.openxmlformats.org/officeDocument/2006/relationships/hyperlink" Target="https://nasig.org/page-18284#Capstone" TargetMode="External"/><Relationship Id="rId13" Type="http://schemas.openxmlformats.org/officeDocument/2006/relationships/hyperlink" Target="https://nasig.org/page-18284#schwartz" TargetMode="External"/><Relationship Id="rId12" Type="http://schemas.openxmlformats.org/officeDocument/2006/relationships/hyperlink" Target="https://nasig.org/page-18284#first-tim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sig.org/page-18284#Birdie" TargetMode="External"/><Relationship Id="rId15" Type="http://schemas.openxmlformats.org/officeDocument/2006/relationships/hyperlink" Target="https://nasig.org/page-18284#Riddick" TargetMode="External"/><Relationship Id="rId14" Type="http://schemas.openxmlformats.org/officeDocument/2006/relationships/hyperlink" Target="https://nasig.org/page-18284#horizon" TargetMode="External"/><Relationship Id="rId17" Type="http://schemas.openxmlformats.org/officeDocument/2006/relationships/hyperlink" Target="https://nasig.org/page-18284#robischon" TargetMode="External"/><Relationship Id="rId16" Type="http://schemas.openxmlformats.org/officeDocument/2006/relationships/hyperlink" Target="https://nasig.org/page-18284#parapro"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HrOafOloTRLNF6b5U9I4OsRyA==">AMUW2mW0Y9WlS1CIBAejs0Uhu2NNt2pv/D/h8VSkXZB4keIcBOevxfaZHDJ3ABTDm3IOcw+Lu26/TqpJiNWsp5YpNbkhTqVVieC+OUFTL/u7LfXQxizAO3rhYhf2IhjsqqeRobbnHNAI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2022-01-19T16:54:00Z</dcterms:created>
  <dc:creator>Nicole Ameduri</dc:creator>
</cp:coreProperties>
</file>